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5B" w:rsidRDefault="00A74F97">
      <w:pPr>
        <w:spacing w:after="99" w:line="259" w:lineRule="auto"/>
        <w:ind w:right="5" w:firstLine="0"/>
        <w:jc w:val="center"/>
      </w:pPr>
      <w:r>
        <w:rPr>
          <w:sz w:val="28"/>
        </w:rPr>
        <w:t xml:space="preserve">Группа 66 </w:t>
      </w:r>
    </w:p>
    <w:p w:rsidR="000E355B" w:rsidRDefault="00A74F97">
      <w:pPr>
        <w:spacing w:after="0" w:line="325" w:lineRule="auto"/>
        <w:ind w:firstLine="0"/>
        <w:jc w:val="center"/>
      </w:pPr>
      <w:r>
        <w:rPr>
          <w:b/>
          <w:sz w:val="28"/>
        </w:rPr>
        <w:t>Зонты, солнцезащитные зонты, трости, трости-сиденья, хлысты, кнуты для верховой езды и их части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0E355B" w:rsidRDefault="00A74F97">
      <w:pPr>
        <w:spacing w:after="176" w:line="259" w:lineRule="auto"/>
        <w:ind w:firstLine="0"/>
        <w:jc w:val="left"/>
      </w:pPr>
      <w:r>
        <w:rPr>
          <w:b/>
        </w:rPr>
        <w:t xml:space="preserve"> </w:t>
      </w:r>
    </w:p>
    <w:p w:rsidR="000E355B" w:rsidRDefault="00A74F97">
      <w:pPr>
        <w:spacing w:after="171" w:line="269" w:lineRule="auto"/>
        <w:ind w:left="-5" w:hanging="10"/>
        <w:jc w:val="left"/>
      </w:pPr>
      <w:r>
        <w:rPr>
          <w:b/>
        </w:rPr>
        <w:t xml:space="preserve">Примечания: </w:t>
      </w:r>
    </w:p>
    <w:p w:rsidR="000E355B" w:rsidRDefault="00A74F97">
      <w:pPr>
        <w:numPr>
          <w:ilvl w:val="0"/>
          <w:numId w:val="1"/>
        </w:numPr>
        <w:spacing w:after="191"/>
        <w:ind w:hanging="358"/>
      </w:pPr>
      <w:r>
        <w:t xml:space="preserve">В данную группу не включаются: </w:t>
      </w:r>
    </w:p>
    <w:p w:rsidR="000E355B" w:rsidRDefault="00A74F97">
      <w:pPr>
        <w:spacing w:after="189"/>
        <w:ind w:left="358" w:firstLine="0"/>
      </w:pPr>
      <w:r>
        <w:t xml:space="preserve">а) мерные трости или аналогичные изделия (товарная позиция 9017); </w:t>
      </w:r>
    </w:p>
    <w:p w:rsidR="000E355B" w:rsidRDefault="00A74F97">
      <w:pPr>
        <w:spacing w:line="321" w:lineRule="auto"/>
        <w:ind w:left="713" w:hanging="355"/>
      </w:pPr>
      <w:r>
        <w:t xml:space="preserve">б) трости с огнестрельным оружием, с вкладной шпагой, залитые свинцом или аналогичные изделия (группа 93); или </w:t>
      </w:r>
    </w:p>
    <w:p w:rsidR="000E355B" w:rsidRDefault="00A74F97">
      <w:pPr>
        <w:spacing w:line="318" w:lineRule="auto"/>
        <w:ind w:left="713" w:hanging="355"/>
      </w:pPr>
      <w:r>
        <w:t xml:space="preserve">в) товары группы 95 (например, игрушечные зонтики, игрушечные солнцезащитные зонтики). </w:t>
      </w:r>
    </w:p>
    <w:p w:rsidR="000E355B" w:rsidRDefault="00A74F97">
      <w:pPr>
        <w:numPr>
          <w:ilvl w:val="0"/>
          <w:numId w:val="1"/>
        </w:numPr>
        <w:ind w:hanging="358"/>
      </w:pPr>
      <w:r>
        <w:t xml:space="preserve">В товарную позицию 6603 не включаются части, отделочные детали или принадлежности из текстильного материала, а также чехлы, кисточки, ремни, футляры для зонтов или аналогичные изделия из любого материала. Такие товары, представленные вместе с изделиями товарной позиции 6601 или 6602, но не прикрепленные к ним, классифицируются отдельно и не рассматриваются как составные части этих изделий. </w:t>
      </w:r>
    </w:p>
    <w:p w:rsidR="000E355B" w:rsidRDefault="00A74F97">
      <w:pPr>
        <w:spacing w:after="133" w:line="259" w:lineRule="auto"/>
        <w:ind w:firstLine="0"/>
        <w:jc w:val="left"/>
      </w:pPr>
      <w:r>
        <w:t xml:space="preserve"> </w:t>
      </w:r>
    </w:p>
    <w:p w:rsidR="000E355B" w:rsidRDefault="00A74F97">
      <w:pPr>
        <w:spacing w:after="114" w:line="269" w:lineRule="auto"/>
        <w:ind w:left="724" w:hanging="739"/>
        <w:jc w:val="left"/>
      </w:pPr>
      <w:r>
        <w:rPr>
          <w:b/>
        </w:rPr>
        <w:t xml:space="preserve">6601 </w:t>
      </w:r>
      <w:r w:rsidR="00796146" w:rsidRPr="00796146">
        <w:rPr>
          <w:b/>
        </w:rPr>
        <w:t xml:space="preserve">   </w:t>
      </w:r>
      <w:r>
        <w:rPr>
          <w:b/>
        </w:rPr>
        <w:t xml:space="preserve">Зонты и солнцезащитные зонты (включая зонты-трости, садовые зонты и аналогичные зонты) (+): </w:t>
      </w:r>
    </w:p>
    <w:p w:rsidR="000E355B" w:rsidRDefault="00A74F97">
      <w:pPr>
        <w:tabs>
          <w:tab w:val="center" w:pos="3482"/>
        </w:tabs>
        <w:spacing w:after="10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6601 10  – садовые зонты или аналогичные зонты </w:t>
      </w:r>
    </w:p>
    <w:p w:rsidR="000E355B" w:rsidRDefault="00A74F97">
      <w:pPr>
        <w:tabs>
          <w:tab w:val="center" w:pos="740"/>
          <w:tab w:val="center" w:pos="2247"/>
        </w:tabs>
        <w:spacing w:after="10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прочие: </w:t>
      </w:r>
    </w:p>
    <w:p w:rsidR="000E355B" w:rsidRDefault="00A74F97">
      <w:pPr>
        <w:tabs>
          <w:tab w:val="center" w:pos="3155"/>
        </w:tabs>
        <w:spacing w:after="81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6601 91 – – имеющие раздвижной стержень </w:t>
      </w:r>
    </w:p>
    <w:p w:rsidR="000E355B" w:rsidRDefault="00A74F97">
      <w:pPr>
        <w:tabs>
          <w:tab w:val="center" w:pos="1802"/>
        </w:tabs>
        <w:spacing w:after="81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6601 99 – – прочие </w:t>
      </w:r>
    </w:p>
    <w:p w:rsidR="000E355B" w:rsidRDefault="00A74F97">
      <w:pPr>
        <w:spacing w:after="92" w:line="259" w:lineRule="auto"/>
        <w:ind w:firstLine="0"/>
        <w:jc w:val="left"/>
      </w:pPr>
      <w:r>
        <w:rPr>
          <w:b/>
        </w:rPr>
        <w:t xml:space="preserve"> </w:t>
      </w:r>
    </w:p>
    <w:p w:rsidR="000E355B" w:rsidRDefault="00A74F97">
      <w:pPr>
        <w:spacing w:after="189"/>
        <w:ind w:left="-15"/>
      </w:pPr>
      <w:r>
        <w:rPr>
          <w:b/>
        </w:rPr>
        <w:t xml:space="preserve">За исключением </w:t>
      </w:r>
      <w:r>
        <w:t>зонтов и солнцезащитных зонтов, явно предназначенных для использования в качестве игрушек или карнавальных изделий (</w:t>
      </w:r>
      <w:r>
        <w:rPr>
          <w:b/>
        </w:rPr>
        <w:t>группа 95</w:t>
      </w:r>
      <w:r>
        <w:t xml:space="preserve">), в данную товарную позицию включаются все типы зонтов и солнцезащитных зонтов (например, "церемониальные" зонты, шатровые зонты, зонты-трости и раскладные зонты с сиденьем, зонты для кафе, рынков, садовые зонты и аналогичные зонты) независимо от материалов, из которых изготавливаются различные компоненты этих изделий (включая прикрепленные принадлежности и отделку). Так, чехлы и футляры могут быть изготовлены из любого текстильного материала, пластмассы, бумаги и пр., они могут быть украшены вышивкой, отделаны кружевом, бахромой или прочими украшениями. </w:t>
      </w:r>
    </w:p>
    <w:p w:rsidR="000E355B" w:rsidRDefault="00A74F97">
      <w:pPr>
        <w:spacing w:after="46" w:line="320" w:lineRule="auto"/>
        <w:ind w:left="-15"/>
      </w:pPr>
      <w:r>
        <w:t xml:space="preserve">Зонты-трости представляют собой зонты с жестким футляром, который придает изделию вид трости для ходьбы. </w:t>
      </w:r>
    </w:p>
    <w:p w:rsidR="000E355B" w:rsidRDefault="00A74F97">
      <w:pPr>
        <w:ind w:left="-15"/>
      </w:pPr>
      <w:r>
        <w:lastRenderedPageBreak/>
        <w:t xml:space="preserve">Шатровые зонты состоят из очень больших зонтов с полотном большой площади, образующим шатер, который можно прикрепить к грунту (например, с помощью колышков на манер походной палатки или с помощью карманов для песка, закрепляющих полог с внутренней стороны). </w:t>
      </w:r>
    </w:p>
    <w:p w:rsidR="000E355B" w:rsidRDefault="00A74F97">
      <w:pPr>
        <w:ind w:left="-15"/>
      </w:pPr>
      <w:r>
        <w:t xml:space="preserve">Стержни зонта (палки) обычно изготавливаются из дерева, тростника, пластмассы или металла. Ручки могут изготавливаться из того же материала, что и стержни (палки), или они могут быть полностью или частично изготовлены из драгоценного металла или металла, плакированного драгоценным металлом, слоновой кости, рога, кости, янтаря, панциря черепахи, перламутра и т.д. Кроме того, такие изделия могут быть инкрустированы драгоценными или полудрагоценными камнями (природными, искусственными или реконструированными) и т.д. Ручки могут быть также покрыты кожей или другим материалом и украшены кисточками или лентами.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96146" w:rsidRDefault="00A74F97" w:rsidP="00796146">
      <w:pPr>
        <w:spacing w:after="122" w:line="385" w:lineRule="auto"/>
        <w:ind w:left="284" w:hanging="299"/>
        <w:rPr>
          <w:sz w:val="20"/>
        </w:rPr>
      </w:pPr>
      <w:r>
        <w:rPr>
          <w:sz w:val="20"/>
        </w:rPr>
        <w:t xml:space="preserve">(а) футляры для зонтов или аналогичные изделия, представленные вместе с зонтами или отдельно, но не прикрепленные к этим изделиям. (Они рассматриваются в соответствующих товарных позициях); </w:t>
      </w:r>
    </w:p>
    <w:p w:rsidR="000E355B" w:rsidRDefault="00A74F97">
      <w:pPr>
        <w:spacing w:after="122" w:line="385" w:lineRule="auto"/>
        <w:ind w:left="-5" w:hanging="10"/>
      </w:pPr>
      <w:r>
        <w:rPr>
          <w:sz w:val="20"/>
        </w:rPr>
        <w:t>(б) пляжные тенты, отличающиеся от зонтов или шатровых зонтов (</w:t>
      </w:r>
      <w:r>
        <w:rPr>
          <w:b/>
          <w:sz w:val="20"/>
        </w:rPr>
        <w:t>товарная позиция 6306</w:t>
      </w:r>
      <w:r>
        <w:rPr>
          <w:sz w:val="20"/>
        </w:rPr>
        <w:t>).</w:t>
      </w:r>
      <w:r>
        <w:rPr>
          <w:sz w:val="18"/>
        </w:rPr>
        <w:t xml:space="preserve"> </w:t>
      </w:r>
    </w:p>
    <w:p w:rsidR="000E355B" w:rsidRDefault="00A74F97">
      <w:pPr>
        <w:spacing w:after="200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0E355B" w:rsidRDefault="00A74F97">
      <w:pPr>
        <w:spacing w:after="112" w:line="259" w:lineRule="auto"/>
        <w:ind w:left="-5" w:hanging="10"/>
        <w:jc w:val="left"/>
      </w:pPr>
      <w:r>
        <w:rPr>
          <w:b/>
          <w:i/>
        </w:rPr>
        <w:t xml:space="preserve">Субпозиция 6601 10 </w:t>
      </w:r>
    </w:p>
    <w:p w:rsidR="000E355B" w:rsidRDefault="00A74F97">
      <w:pPr>
        <w:ind w:left="-15"/>
      </w:pPr>
      <w:r>
        <w:t xml:space="preserve">Зонты, которые не предназначены для ношения в руке, а предназначены для закрепления (например, в грунте, на столе или на стойке), должны рассматриваться как "садовые или аналогичные зонты". В данную субпозицию поэтому включаются зонты для дворовых скамеек, мольбертов, садовых столов, для столов топографов и пр. и шатровые зонты. </w:t>
      </w:r>
    </w:p>
    <w:p w:rsidR="000E355B" w:rsidRDefault="00A74F97">
      <w:pPr>
        <w:spacing w:after="132" w:line="259" w:lineRule="auto"/>
        <w:ind w:firstLine="0"/>
        <w:jc w:val="left"/>
      </w:pPr>
      <w:r>
        <w:t xml:space="preserve"> </w:t>
      </w:r>
    </w:p>
    <w:p w:rsidR="000E355B" w:rsidRDefault="00A74F97">
      <w:pPr>
        <w:spacing w:after="81" w:line="269" w:lineRule="auto"/>
        <w:ind w:left="-5" w:hanging="10"/>
        <w:jc w:val="left"/>
      </w:pPr>
      <w:r>
        <w:rPr>
          <w:b/>
        </w:rPr>
        <w:t xml:space="preserve">6602  Трости, трости-сиденья, хлысты, кнуты для верховой езды и аналогичные изделия </w:t>
      </w:r>
    </w:p>
    <w:p w:rsidR="000E355B" w:rsidRDefault="00A74F97">
      <w:pPr>
        <w:spacing w:after="92" w:line="259" w:lineRule="auto"/>
        <w:ind w:firstLine="0"/>
        <w:jc w:val="left"/>
      </w:pPr>
      <w:r>
        <w:rPr>
          <w:b/>
        </w:rPr>
        <w:t xml:space="preserve"> </w:t>
      </w:r>
    </w:p>
    <w:p w:rsidR="000E355B" w:rsidRDefault="00A74F97">
      <w:pPr>
        <w:spacing w:after="193"/>
        <w:ind w:left="-15"/>
      </w:pPr>
      <w:r>
        <w:rPr>
          <w:b/>
        </w:rPr>
        <w:t xml:space="preserve">За исключением </w:t>
      </w:r>
      <w:r>
        <w:t xml:space="preserve">товаров, указанных в исключениях ниже, в данную товарную позицию включаются трости, тростниковые трости, хлысты (включая плети), кнуты для верховой езды и аналогичные изделия независимо от того, из какого материала они изготовлены. </w:t>
      </w:r>
    </w:p>
    <w:p w:rsidR="000E355B" w:rsidRDefault="00A74F97">
      <w:pPr>
        <w:spacing w:after="181" w:line="269" w:lineRule="auto"/>
        <w:ind w:left="-5" w:hanging="10"/>
        <w:jc w:val="left"/>
      </w:pPr>
      <w:r>
        <w:t xml:space="preserve">(А) </w:t>
      </w:r>
      <w:r>
        <w:rPr>
          <w:b/>
        </w:rPr>
        <w:t xml:space="preserve">Трости, трости-сиденья и аналогичные изделия. </w:t>
      </w:r>
    </w:p>
    <w:p w:rsidR="000E355B" w:rsidRDefault="00A74F97">
      <w:pPr>
        <w:ind w:left="358" w:firstLine="0"/>
      </w:pPr>
      <w:r>
        <w:t xml:space="preserve">Кроме обычных тростей, к данной категории также относятся трости-сиденья (с ручками, сконструированными таким образом, чтобы при раскрывании трости образовывалось сиденье), трости, специально сконструированные для инвалидов и людей пожилого возраста, шесты для бойскаутов, пастушеские посохи с крючками. </w:t>
      </w:r>
    </w:p>
    <w:p w:rsidR="000E355B" w:rsidRDefault="00A74F97">
      <w:pPr>
        <w:ind w:left="358" w:firstLine="0"/>
      </w:pPr>
      <w:r>
        <w:t xml:space="preserve">К данной категории относятся также незаконченные трости из тростника или дерева, обточенные, изогнутые или обработанные другим способом; однако в нее </w:t>
      </w:r>
      <w:r>
        <w:rPr>
          <w:b/>
        </w:rPr>
        <w:t>не включаются</w:t>
      </w:r>
      <w:r>
        <w:t xml:space="preserve"> тростник или дерево, которые можно использовать для производства тростей и которые подверглись лишь грубой обработке или отделке (</w:t>
      </w:r>
      <w:r>
        <w:rPr>
          <w:b/>
        </w:rPr>
        <w:t>товарная позиция 1401</w:t>
      </w:r>
      <w:r>
        <w:t xml:space="preserve"> или </w:t>
      </w:r>
      <w:r>
        <w:rPr>
          <w:b/>
        </w:rPr>
        <w:t>группа 44</w:t>
      </w:r>
      <w:r>
        <w:t xml:space="preserve">). </w:t>
      </w:r>
      <w:r>
        <w:lastRenderedPageBreak/>
        <w:t xml:space="preserve">В данную товарную позицию также </w:t>
      </w:r>
      <w:r>
        <w:rPr>
          <w:b/>
        </w:rPr>
        <w:t xml:space="preserve">не включаются </w:t>
      </w:r>
      <w:r>
        <w:t>заготовки, имеющие вид незаконченных ручек (</w:t>
      </w:r>
      <w:r>
        <w:rPr>
          <w:b/>
        </w:rPr>
        <w:t>товарная позиция 6603</w:t>
      </w:r>
      <w:r>
        <w:t xml:space="preserve">). </w:t>
      </w:r>
    </w:p>
    <w:p w:rsidR="000E355B" w:rsidRDefault="00A74F97">
      <w:pPr>
        <w:spacing w:after="197"/>
        <w:ind w:left="358" w:firstLine="0"/>
      </w:pPr>
      <w:r>
        <w:t xml:space="preserve">Части ручек и стержней (палок) тростей и т.д. могут быть изготовлены из различных материалов и могут быть инкрустированы драгоценным металлом или металлом, плакированным драгоценным металлом, драгоценными или полудрагоценными камнями (природными, искусственными или реконструированными). Они также могут быть полностью или частично покрыты кожей или другими материалами. </w:t>
      </w:r>
    </w:p>
    <w:p w:rsidR="000E355B" w:rsidRDefault="00A74F97">
      <w:pPr>
        <w:spacing w:after="181" w:line="269" w:lineRule="auto"/>
        <w:ind w:left="-5" w:hanging="10"/>
        <w:jc w:val="left"/>
      </w:pPr>
      <w:r>
        <w:t xml:space="preserve">(Б) </w:t>
      </w:r>
      <w:r>
        <w:rPr>
          <w:b/>
        </w:rPr>
        <w:t xml:space="preserve">Хлысты, кнуты для верховой езды и аналогичные изделия. </w:t>
      </w:r>
    </w:p>
    <w:p w:rsidR="000E355B" w:rsidRDefault="00A74F97">
      <w:pPr>
        <w:spacing w:after="186"/>
        <w:ind w:left="358" w:firstLine="0"/>
      </w:pPr>
      <w:r>
        <w:t xml:space="preserve">К данной категории относятся: </w:t>
      </w:r>
    </w:p>
    <w:p w:rsidR="000E355B" w:rsidRDefault="00A74F97">
      <w:pPr>
        <w:numPr>
          <w:ilvl w:val="0"/>
          <w:numId w:val="2"/>
        </w:numPr>
        <w:spacing w:after="190"/>
        <w:ind w:hanging="350"/>
      </w:pPr>
      <w:r>
        <w:t xml:space="preserve">Хлысты всех видов, как правило, состоящие из объединенных рукоятки и плети. </w:t>
      </w:r>
    </w:p>
    <w:p w:rsidR="000E355B" w:rsidRDefault="00A74F97">
      <w:pPr>
        <w:numPr>
          <w:ilvl w:val="0"/>
          <w:numId w:val="2"/>
        </w:numPr>
        <w:spacing w:after="43" w:line="323" w:lineRule="auto"/>
        <w:ind w:hanging="350"/>
      </w:pPr>
      <w:r>
        <w:t xml:space="preserve">Кнуты для верховой езды, состоящие из рукоятки, как правило, с короткой кожаной петлей вместо плети. </w:t>
      </w:r>
    </w:p>
    <w:p w:rsidR="000E355B" w:rsidRDefault="00A74F97">
      <w:pPr>
        <w:ind w:left="-15"/>
      </w:pPr>
      <w:r>
        <w:t xml:space="preserve">Все эти изделия могут быть оснащены лентами или другими принадлежностями, изготовленными из любого материала.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>(а) мерные трости, измерительные стержни и аналогичные изделия (</w:t>
      </w:r>
      <w:r>
        <w:rPr>
          <w:b/>
          <w:sz w:val="20"/>
        </w:rPr>
        <w:t>товарная позиция 9017</w:t>
      </w:r>
      <w:r>
        <w:rPr>
          <w:sz w:val="20"/>
        </w:rPr>
        <w:t xml:space="preserve">);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>(б) костыли и палки-костыли (</w:t>
      </w:r>
      <w:r>
        <w:rPr>
          <w:b/>
          <w:sz w:val="20"/>
        </w:rPr>
        <w:t>товарная позиция 9021</w:t>
      </w:r>
      <w:r>
        <w:rPr>
          <w:sz w:val="20"/>
        </w:rPr>
        <w:t xml:space="preserve">);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>(в) трости с огнестрельным оружием, с вкладной шпагой, залитые свинцом и аналогичные изделия (</w:t>
      </w:r>
      <w:r>
        <w:rPr>
          <w:b/>
          <w:sz w:val="20"/>
        </w:rPr>
        <w:t>группа 93</w:t>
      </w:r>
      <w:r>
        <w:rPr>
          <w:sz w:val="20"/>
        </w:rPr>
        <w:t xml:space="preserve">); </w:t>
      </w:r>
    </w:p>
    <w:p w:rsidR="000E355B" w:rsidRDefault="00A74F97">
      <w:pPr>
        <w:spacing w:after="135" w:line="259" w:lineRule="auto"/>
        <w:ind w:left="-5" w:hanging="10"/>
      </w:pPr>
      <w:r>
        <w:rPr>
          <w:sz w:val="20"/>
        </w:rPr>
        <w:t xml:space="preserve">(г) изделия </w:t>
      </w:r>
      <w:r>
        <w:rPr>
          <w:b/>
          <w:sz w:val="20"/>
        </w:rPr>
        <w:t>группы 95</w:t>
      </w:r>
      <w:r>
        <w:rPr>
          <w:sz w:val="20"/>
        </w:rPr>
        <w:t xml:space="preserve"> (например, клюшки для гольфа, хоккея, лыжные палки, альпинистские ледовые топоры).</w:t>
      </w:r>
      <w:r>
        <w:rPr>
          <w:sz w:val="22"/>
        </w:rPr>
        <w:t xml:space="preserve"> </w:t>
      </w:r>
    </w:p>
    <w:p w:rsidR="000E355B" w:rsidRDefault="00A74F97">
      <w:pPr>
        <w:spacing w:after="133" w:line="259" w:lineRule="auto"/>
        <w:ind w:firstLine="0"/>
        <w:jc w:val="left"/>
      </w:pPr>
      <w:r>
        <w:t xml:space="preserve"> </w:t>
      </w:r>
    </w:p>
    <w:p w:rsidR="000E355B" w:rsidRDefault="00A74F97">
      <w:pPr>
        <w:spacing w:after="122" w:line="269" w:lineRule="auto"/>
        <w:ind w:left="724" w:hanging="739"/>
        <w:jc w:val="left"/>
      </w:pPr>
      <w:r>
        <w:rPr>
          <w:b/>
        </w:rPr>
        <w:t xml:space="preserve">6603  </w:t>
      </w:r>
      <w:r w:rsidR="00796146" w:rsidRPr="00796146">
        <w:rPr>
          <w:b/>
        </w:rPr>
        <w:t xml:space="preserve">  </w:t>
      </w:r>
      <w:r>
        <w:rPr>
          <w:b/>
        </w:rPr>
        <w:t xml:space="preserve">Части, отделочные детали и принадлежности для изделий товарной позиции 6601 или 6602: </w:t>
      </w:r>
    </w:p>
    <w:p w:rsidR="000E355B" w:rsidRDefault="00A74F97" w:rsidP="00796146">
      <w:pPr>
        <w:tabs>
          <w:tab w:val="right" w:pos="9925"/>
        </w:tabs>
        <w:spacing w:after="81" w:line="269" w:lineRule="auto"/>
        <w:ind w:left="-15" w:firstLine="724"/>
        <w:jc w:val="left"/>
      </w:pPr>
      <w:r>
        <w:rPr>
          <w:b/>
        </w:rPr>
        <w:t xml:space="preserve">6603 20  – каркасы зонтов, включая каркасы, установленные на стержнях (палках) </w:t>
      </w:r>
    </w:p>
    <w:p w:rsidR="000E355B" w:rsidRDefault="00A74F97" w:rsidP="00796146">
      <w:pPr>
        <w:tabs>
          <w:tab w:val="center" w:pos="1708"/>
        </w:tabs>
        <w:spacing w:after="81" w:line="269" w:lineRule="auto"/>
        <w:ind w:left="-15" w:firstLine="724"/>
        <w:jc w:val="left"/>
      </w:pPr>
      <w:r>
        <w:rPr>
          <w:b/>
        </w:rPr>
        <w:t xml:space="preserve">6603 90  – прочие </w:t>
      </w:r>
    </w:p>
    <w:p w:rsidR="000E355B" w:rsidRDefault="00A74F97">
      <w:pPr>
        <w:spacing w:after="97" w:line="259" w:lineRule="auto"/>
        <w:ind w:firstLine="0"/>
        <w:jc w:val="left"/>
      </w:pPr>
      <w:r>
        <w:t xml:space="preserve"> </w:t>
      </w:r>
    </w:p>
    <w:p w:rsidR="000E355B" w:rsidRDefault="00A74F97">
      <w:pPr>
        <w:ind w:left="-15"/>
      </w:pPr>
      <w:r>
        <w:t xml:space="preserve">В данную товарную позицию </w:t>
      </w:r>
      <w:r>
        <w:rPr>
          <w:b/>
        </w:rPr>
        <w:t xml:space="preserve">не включаются </w:t>
      </w:r>
      <w:r>
        <w:t>части, отделочные детали и принадлежности из текстильного материала, а также чехлы, кисточки, ремни, футляры для зонтов и аналогичные изделия из любого материала; эти товары классифицируются отдельно даже в тех случаях, когда представлены вмес</w:t>
      </w:r>
      <w:bookmarkStart w:id="0" w:name="_GoBack"/>
      <w:bookmarkEnd w:id="0"/>
      <w:r>
        <w:t xml:space="preserve">те с зонтами, солнцезащитными зонтами, тростями и т.п., но не прикреплены к ним (см. примечание 2 к данной группе). </w:t>
      </w:r>
      <w:r>
        <w:rPr>
          <w:b/>
        </w:rPr>
        <w:t>За исключением</w:t>
      </w:r>
      <w:r>
        <w:t xml:space="preserve"> вышеупомянутых товаров в данную товарную позицию включаются идентифицируемые части, приспособления и принадлежности для изделий товарной позиции 6601 или 6602. </w:t>
      </w:r>
    </w:p>
    <w:p w:rsidR="000E355B" w:rsidRDefault="00A74F97">
      <w:pPr>
        <w:spacing w:after="186"/>
        <w:ind w:left="-15"/>
      </w:pPr>
      <w:r>
        <w:t>Они включаются в данную товарную позицию независимо от того, из какого материала изготовлены (включая драгоценный металл или металл, плакированный драгоценным металлом или инкрустированный природными, искусственными или реконструированными драгоценными или полудрагоценными камнями). Они включают:</w:t>
      </w:r>
      <w:r>
        <w:rPr>
          <w:rFonts w:ascii="Arial" w:eastAsia="Arial" w:hAnsi="Arial" w:cs="Arial"/>
          <w:sz w:val="22"/>
        </w:rPr>
        <w:t xml:space="preserve"> </w:t>
      </w:r>
    </w:p>
    <w:p w:rsidR="000E355B" w:rsidRDefault="00A74F97">
      <w:pPr>
        <w:numPr>
          <w:ilvl w:val="0"/>
          <w:numId w:val="3"/>
        </w:numPr>
        <w:spacing w:line="324" w:lineRule="auto"/>
        <w:ind w:hanging="360"/>
      </w:pPr>
      <w:r>
        <w:lastRenderedPageBreak/>
        <w:t xml:space="preserve">Ручки (включая заготовки, идентифицируемые как незаконченные ручки) и набалдашники для зонтов, солнцезащитных зонтов, тростей, хлыстов и т.д. </w:t>
      </w:r>
    </w:p>
    <w:p w:rsidR="000E355B" w:rsidRDefault="00A74F97">
      <w:pPr>
        <w:numPr>
          <w:ilvl w:val="0"/>
          <w:numId w:val="3"/>
        </w:numPr>
        <w:spacing w:line="324" w:lineRule="auto"/>
        <w:ind w:hanging="360"/>
      </w:pPr>
      <w:r>
        <w:t xml:space="preserve">Каркасы, включая каркасы, смонтированные на стержнях, спицы и растягивающие устройства для каркасов. </w:t>
      </w:r>
    </w:p>
    <w:p w:rsidR="000E355B" w:rsidRDefault="00A74F97">
      <w:pPr>
        <w:numPr>
          <w:ilvl w:val="0"/>
          <w:numId w:val="3"/>
        </w:numPr>
        <w:spacing w:line="324" w:lineRule="auto"/>
        <w:ind w:hanging="360"/>
      </w:pPr>
      <w:r>
        <w:t xml:space="preserve">Стержни (палки), как с ручками или набалдашниками, так и без них, для зонтов или солнцезащитных зонтов. </w:t>
      </w:r>
    </w:p>
    <w:p w:rsidR="000E355B" w:rsidRDefault="00A74F97">
      <w:pPr>
        <w:numPr>
          <w:ilvl w:val="0"/>
          <w:numId w:val="3"/>
        </w:numPr>
        <w:spacing w:after="190"/>
        <w:ind w:hanging="360"/>
      </w:pPr>
      <w:r>
        <w:t xml:space="preserve">Рукоятки для хлыстов или кнутов для верховой езды. </w:t>
      </w:r>
    </w:p>
    <w:p w:rsidR="000E355B" w:rsidRDefault="00A74F97">
      <w:pPr>
        <w:numPr>
          <w:ilvl w:val="0"/>
          <w:numId w:val="3"/>
        </w:numPr>
        <w:spacing w:after="136"/>
        <w:ind w:hanging="360"/>
      </w:pPr>
      <w:r>
        <w:t xml:space="preserve">Бегунки, наконечники для спиц, колпачки, муфты, пружинки, хомутики, наклонные устройства, устанавливающие верхушку зонта под углом к мачте, шипы, основания для тростей-сидений и аналогичные принадлежности и т.д.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0E355B" w:rsidRDefault="00A74F97">
      <w:pPr>
        <w:spacing w:after="180" w:line="259" w:lineRule="auto"/>
        <w:ind w:left="-5" w:hanging="10"/>
      </w:pPr>
      <w:r>
        <w:rPr>
          <w:sz w:val="20"/>
        </w:rPr>
        <w:t xml:space="preserve">(а) незаконченные трости (см. пояснения к </w:t>
      </w:r>
      <w:r>
        <w:rPr>
          <w:b/>
          <w:sz w:val="20"/>
        </w:rPr>
        <w:t>товарной позиции 6602</w:t>
      </w:r>
      <w:r>
        <w:rPr>
          <w:sz w:val="20"/>
        </w:rPr>
        <w:t xml:space="preserve">); </w:t>
      </w:r>
    </w:p>
    <w:p w:rsidR="000E355B" w:rsidRDefault="00A74F97">
      <w:pPr>
        <w:spacing w:after="180" w:line="321" w:lineRule="auto"/>
        <w:ind w:left="268" w:hanging="283"/>
      </w:pPr>
      <w:r>
        <w:rPr>
          <w:sz w:val="20"/>
        </w:rPr>
        <w:t>(б) железные или стальные трубки, а также железные или стальные секции спиц или растягивающих устройств, просто нарезанные по длине (</w:t>
      </w:r>
      <w:r>
        <w:rPr>
          <w:b/>
          <w:sz w:val="20"/>
        </w:rPr>
        <w:t>группа 72</w:t>
      </w:r>
      <w:r>
        <w:rPr>
          <w:sz w:val="20"/>
        </w:rPr>
        <w:t xml:space="preserve"> или </w:t>
      </w:r>
      <w:r>
        <w:rPr>
          <w:b/>
          <w:sz w:val="20"/>
        </w:rPr>
        <w:t>73</w:t>
      </w:r>
      <w:r>
        <w:rPr>
          <w:sz w:val="20"/>
        </w:rPr>
        <w:t xml:space="preserve">). </w:t>
      </w:r>
    </w:p>
    <w:sectPr w:rsidR="000E355B" w:rsidSect="00D40895">
      <w:headerReference w:type="even" r:id="rId7"/>
      <w:headerReference w:type="default" r:id="rId8"/>
      <w:headerReference w:type="first" r:id="rId9"/>
      <w:pgSz w:w="11906" w:h="16838"/>
      <w:pgMar w:top="1683" w:right="849" w:bottom="1215" w:left="1132" w:header="1109" w:footer="720" w:gutter="0"/>
      <w:pgNumType w:fmt="numberInDash" w:start="212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C3B" w:rsidRDefault="00053C3B">
      <w:pPr>
        <w:spacing w:after="0" w:line="240" w:lineRule="auto"/>
      </w:pPr>
      <w:r>
        <w:separator/>
      </w:r>
    </w:p>
  </w:endnote>
  <w:endnote w:type="continuationSeparator" w:id="0">
    <w:p w:rsidR="00053C3B" w:rsidRDefault="0005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C3B" w:rsidRDefault="00053C3B">
      <w:pPr>
        <w:spacing w:after="0" w:line="240" w:lineRule="auto"/>
      </w:pPr>
      <w:r>
        <w:separator/>
      </w:r>
    </w:p>
  </w:footnote>
  <w:footnote w:type="continuationSeparator" w:id="0">
    <w:p w:rsidR="00053C3B" w:rsidRDefault="0005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5B" w:rsidRDefault="00A74F97">
    <w:pPr>
      <w:tabs>
        <w:tab w:val="right" w:pos="9925"/>
      </w:tabs>
      <w:spacing w:after="33" w:line="259" w:lineRule="auto"/>
      <w:ind w:firstLine="0"/>
      <w:jc w:val="left"/>
    </w:pPr>
    <w:r>
      <w:rPr>
        <w:i/>
        <w:sz w:val="20"/>
        <w:u w:val="single" w:color="000000"/>
      </w:rPr>
      <w:t xml:space="preserve">Раздел XII </w:t>
    </w:r>
    <w:r>
      <w:rPr>
        <w:i/>
        <w:sz w:val="20"/>
        <w:u w:val="single" w:color="000000"/>
      </w:rPr>
      <w:tab/>
      <w:t xml:space="preserve">Группа 66 </w:t>
    </w:r>
  </w:p>
  <w:p w:rsidR="000E355B" w:rsidRDefault="00A74F9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61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D40895" w:rsidRPr="00D40895" w:rsidRDefault="00D408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08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8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08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- 2129 -</w:t>
        </w:r>
        <w:r w:rsidRPr="00D408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D40895" w:rsidRPr="00D40895" w:rsidRDefault="00D40895" w:rsidP="00D40895">
        <w:pPr>
          <w:tabs>
            <w:tab w:val="right" w:pos="9925"/>
          </w:tabs>
          <w:spacing w:after="33" w:line="259" w:lineRule="auto"/>
          <w:ind w:firstLine="0"/>
          <w:jc w:val="left"/>
          <w:rPr>
            <w:szCs w:val="24"/>
          </w:rPr>
        </w:pPr>
        <w:r w:rsidRPr="00D40895">
          <w:rPr>
            <w:i/>
            <w:szCs w:val="24"/>
            <w:u w:val="single" w:color="000000"/>
          </w:rPr>
          <w:t xml:space="preserve">Раздел XII </w:t>
        </w:r>
        <w:r w:rsidRPr="00D40895">
          <w:rPr>
            <w:i/>
            <w:szCs w:val="24"/>
            <w:u w:val="single" w:color="000000"/>
          </w:rPr>
          <w:tab/>
          <w:t xml:space="preserve">Группа 66 </w:t>
        </w:r>
      </w:p>
      <w:p w:rsidR="00D40895" w:rsidRPr="00D40895" w:rsidRDefault="00D40895" w:rsidP="00D40895">
        <w:pPr>
          <w:spacing w:after="0" w:line="259" w:lineRule="auto"/>
          <w:ind w:firstLine="0"/>
          <w:jc w:val="left"/>
          <w:rPr>
            <w:szCs w:val="24"/>
          </w:rPr>
        </w:pPr>
        <w:r w:rsidRPr="00D40895">
          <w:rPr>
            <w:rFonts w:eastAsia="Calibri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5B" w:rsidRDefault="00A74F97">
    <w:pPr>
      <w:tabs>
        <w:tab w:val="right" w:pos="9925"/>
      </w:tabs>
      <w:spacing w:after="33" w:line="259" w:lineRule="auto"/>
      <w:ind w:firstLine="0"/>
      <w:jc w:val="left"/>
    </w:pPr>
    <w:r>
      <w:rPr>
        <w:i/>
        <w:sz w:val="20"/>
        <w:u w:val="single" w:color="000000"/>
      </w:rPr>
      <w:t xml:space="preserve">Раздел XII </w:t>
    </w:r>
    <w:r>
      <w:rPr>
        <w:i/>
        <w:sz w:val="20"/>
        <w:u w:val="single" w:color="000000"/>
      </w:rPr>
      <w:tab/>
      <w:t xml:space="preserve">Группа 66 </w:t>
    </w:r>
  </w:p>
  <w:p w:rsidR="000E355B" w:rsidRDefault="00A74F9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12B"/>
    <w:multiLevelType w:val="hybridMultilevel"/>
    <w:tmpl w:val="34562AC8"/>
    <w:lvl w:ilvl="0" w:tplc="816463CE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7CAD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66D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2AC0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700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A48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3A0E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627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622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E82AAF"/>
    <w:multiLevelType w:val="hybridMultilevel"/>
    <w:tmpl w:val="8C40E560"/>
    <w:lvl w:ilvl="0" w:tplc="52E0B4DA">
      <w:start w:val="1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345A5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7E4C6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107FB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0B1A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3C5AD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61BC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8C071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AAFE1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E8A7CC7"/>
    <w:multiLevelType w:val="hybridMultilevel"/>
    <w:tmpl w:val="58FC13A4"/>
    <w:lvl w:ilvl="0" w:tplc="BD645022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89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406A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47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5C51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B42D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C2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D6DF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CF7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355B"/>
    <w:rsid w:val="00053C3B"/>
    <w:rsid w:val="000E355B"/>
    <w:rsid w:val="00415891"/>
    <w:rsid w:val="00796146"/>
    <w:rsid w:val="00940F1D"/>
    <w:rsid w:val="00A74F97"/>
    <w:rsid w:val="00D40895"/>
    <w:rsid w:val="00E6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58"/>
    <w:pPr>
      <w:spacing w:after="110" w:line="262" w:lineRule="auto"/>
      <w:ind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40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40895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D40895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4089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ХII</vt:lpstr>
    </vt:vector>
  </TitlesOfParts>
  <Company/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ХII</dc:title>
  <dc:subject/>
  <dc:creator>Данильчева Кира Сергеевна</dc:creator>
  <cp:keywords/>
  <cp:lastModifiedBy>kolesnik_av</cp:lastModifiedBy>
  <cp:revision>6</cp:revision>
  <cp:lastPrinted>2016-09-27T06:10:00Z</cp:lastPrinted>
  <dcterms:created xsi:type="dcterms:W3CDTF">2016-08-24T11:09:00Z</dcterms:created>
  <dcterms:modified xsi:type="dcterms:W3CDTF">2016-09-27T06:10:00Z</dcterms:modified>
</cp:coreProperties>
</file>