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F14" w:rsidRDefault="00575F14" w:rsidP="00575F14">
      <w:pPr>
        <w:rPr>
          <w:sz w:val="28"/>
          <w:szCs w:val="28"/>
        </w:rPr>
      </w:pPr>
      <w:r>
        <w:rPr>
          <w:sz w:val="28"/>
          <w:szCs w:val="28"/>
        </w:rPr>
        <w:t>Примечание.</w:t>
      </w:r>
    </w:p>
    <w:p w:rsidR="00575F14" w:rsidRDefault="00575F14" w:rsidP="00575F1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определения ставки пошлины необходимо руководствоваться кодом товара, указанным в столбце «Код ТН ВЭД».</w:t>
      </w:r>
    </w:p>
    <w:p w:rsidR="00575F14" w:rsidRDefault="00575F14" w:rsidP="00575F1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определения ставки пошлины для кода товара, указанного в столбце «Код ТН ВЭД» в виде цифр «ХХХХ ХХ ХХХ» с символом «*» необходимо руководствоваться признаком товара, указанным в строке ниже кода в виде «*ХХХ». Ставка пошлины определяется в зависимости от признака товара и разъяснения по товару, указанному в столбце «Наименование позиции».</w:t>
      </w:r>
    </w:p>
    <w:p w:rsidR="00575F14" w:rsidRDefault="00575F14" w:rsidP="00575F1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Ставка пошлины, приведенная в столбце «Ставка ввозной таможенной пошлины (в процентах от таможенной стоимости либо в евро, либо в долларах США)» и записанная в виде только цифрового значения, является адвалорной ставкой, а пошлина рассчитывается как указанная величина</w:t>
      </w:r>
      <w:r w:rsidRPr="00575F14">
        <w:rPr>
          <w:sz w:val="28"/>
          <w:szCs w:val="28"/>
        </w:rPr>
        <w:t xml:space="preserve"> </w:t>
      </w:r>
      <w:r>
        <w:rPr>
          <w:sz w:val="28"/>
          <w:szCs w:val="28"/>
        </w:rPr>
        <w:t>в процентах от таможенной стоимости.</w:t>
      </w:r>
    </w:p>
    <w:p w:rsidR="00575F14" w:rsidRDefault="00575F14" w:rsidP="00575F1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Ставка пошлины, приведенная в столбце «Ставка ввозной таможенной пошлины (в процентах от таможенной стоимости либо в евро, либо в долларах США)» и указанная в виде «Х, но не менее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», является комбинированной ставкой, в которой «Х» является адвалорной ставкой, а «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– специфической. При расчете величина пошлина выбирается как большая величина из двух рассчитанных значений. </w:t>
      </w:r>
    </w:p>
    <w:p w:rsidR="00575F14" w:rsidRDefault="00575F14" w:rsidP="00575F1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Для товарной группы 87 ТН ВЭД в качестве специфической ставки указана ставка пошлины в долларах США за 1 куб. см рабочего объема цилиндров двигателя автомобиля в отношении автомобилей </w:t>
      </w:r>
      <w:r>
        <w:rPr>
          <w:bCs/>
          <w:sz w:val="28"/>
          <w:szCs w:val="28"/>
        </w:rPr>
        <w:t xml:space="preserve">с поршневым двигателем внутреннего сгорания с воспламенением от сжатия (дизелем или </w:t>
      </w:r>
      <w:proofErr w:type="spellStart"/>
      <w:r>
        <w:rPr>
          <w:bCs/>
          <w:sz w:val="28"/>
          <w:szCs w:val="28"/>
        </w:rPr>
        <w:t>полудизелем</w:t>
      </w:r>
      <w:proofErr w:type="spellEnd"/>
      <w:r>
        <w:rPr>
          <w:bCs/>
          <w:sz w:val="28"/>
          <w:szCs w:val="28"/>
        </w:rPr>
        <w:t xml:space="preserve">) или </w:t>
      </w:r>
      <w:r>
        <w:rPr>
          <w:sz w:val="28"/>
          <w:szCs w:val="28"/>
        </w:rPr>
        <w:t>с поршневым двигателем внутреннего сгорания с искровым зажиганием, для автомобилей с иным типом двигателя, – необходимо руководствоваться только адвалорной ставкой.</w:t>
      </w:r>
      <w:proofErr w:type="gramEnd"/>
    </w:p>
    <w:p w:rsidR="00575F14" w:rsidRDefault="00575F14" w:rsidP="00575F14">
      <w:pPr>
        <w:pStyle w:val="1"/>
        <w:keepLines/>
        <w:jc w:val="center"/>
        <w:rPr>
          <w:sz w:val="24"/>
          <w:szCs w:val="24"/>
        </w:rPr>
      </w:pPr>
      <w:r>
        <w:rPr>
          <w:sz w:val="28"/>
          <w:szCs w:val="28"/>
        </w:rPr>
        <w:br w:type="page"/>
      </w:r>
      <w:r>
        <w:rPr>
          <w:sz w:val="24"/>
          <w:szCs w:val="24"/>
        </w:rPr>
        <w:lastRenderedPageBreak/>
        <w:t>ОСНОВНЫЕ ПРАВИЛА ИНТЕРПРЕТАЦИИ ТН ВЭД</w:t>
      </w:r>
    </w:p>
    <w:p w:rsidR="00575F14" w:rsidRDefault="00575F14" w:rsidP="00575F14">
      <w:pPr>
        <w:pStyle w:val="1"/>
        <w:keepLines/>
        <w:jc w:val="center"/>
        <w:rPr>
          <w:sz w:val="28"/>
          <w:szCs w:val="28"/>
        </w:rPr>
      </w:pP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товаров в Товарной номенклатуре внешнеэкономической деятельности (ТН ВЭД) осуществляется по следующим Правилам: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Названия разделов, групп и подгрупп приводятся только для удобства использования ТН ВЭД; для юридических целей классификация товаров в ТН ВЭД осуществляется исходя из текстов товарных позиций и соответствующих примечаний к разделам или группам и, если такими текстами не предусмотрено иное, в соответствии со следующими положениями: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2. а) любая ссылка в наименовании товарной позиции на какой-либо товар должна рассматриваться и как ссылка на такой товар в некомплектном или незавершенном виде при условии, что, будучи представленным </w:t>
      </w:r>
      <w:r>
        <w:rPr>
          <w:sz w:val="28"/>
          <w:szCs w:val="28"/>
        </w:rPr>
        <w:br/>
        <w:t>в некомплектном или незавершенном виде, этот товар обладает основным свойством комплектного или завершенного товара, а также должна рассматриваться как ссылка на комплектный или завершенный товар (или классифицируемый в рассматриваемой товарной позиции</w:t>
      </w:r>
      <w:proofErr w:type="gramEnd"/>
      <w:r>
        <w:rPr>
          <w:sz w:val="28"/>
          <w:szCs w:val="28"/>
        </w:rPr>
        <w:t xml:space="preserve"> как </w:t>
      </w:r>
      <w:proofErr w:type="gramStart"/>
      <w:r>
        <w:rPr>
          <w:sz w:val="28"/>
          <w:szCs w:val="28"/>
        </w:rPr>
        <w:t>комплектный</w:t>
      </w:r>
      <w:proofErr w:type="gramEnd"/>
      <w:r>
        <w:rPr>
          <w:sz w:val="28"/>
          <w:szCs w:val="28"/>
        </w:rPr>
        <w:t xml:space="preserve"> или завершенный в силу данного Правила), представленный в несобранном или разобранном виде;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любая ссылка в наименовании товарной позиции на какой-либо материал или вещество должна рассматриваться и как ссылка на смеси или соединения этого материала или вещества с другими материалами или веществами. Любая ссылка на товар из определенного материала или вещества должна рассматриваться и как ссылка на товары, полностью или частично состоящие из этого материала или вещества. Классификация товаров, состоящих более чем из одного материала или вещества, осуществляется </w:t>
      </w:r>
      <w:r>
        <w:rPr>
          <w:sz w:val="28"/>
          <w:szCs w:val="28"/>
        </w:rPr>
        <w:br/>
        <w:t>в соответствии с положениями Правила 3.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случае если в силу Правила 2б или по каким-либо другим причинам имеется </w:t>
      </w:r>
      <w:r>
        <w:rPr>
          <w:sz w:val="28"/>
          <w:szCs w:val="28"/>
          <w:lang w:val="en-US"/>
        </w:rPr>
        <w:t>prima</w:t>
      </w:r>
      <w:r w:rsidRPr="00575F1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facie</w:t>
      </w:r>
      <w:r>
        <w:rPr>
          <w:sz w:val="28"/>
          <w:szCs w:val="28"/>
        </w:rPr>
        <w:t>, возможность отнесения товаров к двум или более товарным позициям, классификация таких товаров осуществляется следующим образом: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 предпочтение отдается той товарной позиции, которая содержит наиболее конкретное описание товара по сравнению с товарными позициями </w:t>
      </w:r>
      <w:r>
        <w:rPr>
          <w:sz w:val="28"/>
          <w:szCs w:val="28"/>
        </w:rPr>
        <w:br/>
        <w:t>с более общим описанием. Однако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когда каждая из двух или более товарных позиций имеет отношение лишь к части материалов или веществ, входящих </w:t>
      </w:r>
      <w:r>
        <w:rPr>
          <w:sz w:val="28"/>
          <w:szCs w:val="28"/>
        </w:rPr>
        <w:br/>
        <w:t>в состав смеси или многокомпонентного изделия, или только к части товаров, представленных в наборе для розничной продажи, то данные товарные позиции должны рассматриваться равнозначными по отношению к данному товару, даже если одна из них дает более полное или точное описание товара;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б) смеси, многокомпонентные изделия, состоящие из различных материалов или изготовленные из различных компонентов, и товары, представленные в наборах для розничной продажи, классификация которых </w:t>
      </w:r>
      <w:r>
        <w:rPr>
          <w:sz w:val="28"/>
          <w:szCs w:val="28"/>
        </w:rPr>
        <w:br/>
        <w:t>не может быть осуществлена в соответствии с положениями Правила 3а, должны классифицироваться по тому материалу или составной части, которые придают данным товарам основное свойство, при условии, что этот критерий применим;</w:t>
      </w:r>
      <w:proofErr w:type="gramEnd"/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 товары, классификация которых не может быть осуществлена </w:t>
      </w:r>
      <w:r>
        <w:rPr>
          <w:sz w:val="28"/>
          <w:szCs w:val="28"/>
        </w:rPr>
        <w:br/>
        <w:t>в соответствии с положениями Правила 3а или 3б, должны классифицироваться в товарной позиции, последней в порядке возрастания кодов среди товарных позиций, в равной степени приемлемых для рассмотрения при классификации данных товаров.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Товары, классификация которых не может быть осуществлена </w:t>
      </w:r>
      <w:r>
        <w:rPr>
          <w:sz w:val="28"/>
          <w:szCs w:val="28"/>
        </w:rPr>
        <w:br/>
        <w:t xml:space="preserve">в соответствии с положениями вышеизложенных Правил, классифицируются </w:t>
      </w:r>
      <w:r>
        <w:rPr>
          <w:sz w:val="28"/>
          <w:szCs w:val="28"/>
        </w:rPr>
        <w:br/>
        <w:t xml:space="preserve">в товарной позиции, соответствующей товарам, наиболее сходным (близким) </w:t>
      </w:r>
      <w:r>
        <w:rPr>
          <w:sz w:val="28"/>
          <w:szCs w:val="28"/>
        </w:rPr>
        <w:br/>
        <w:t>с рассматриваемыми товарами.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В дополнение к вышеупомянутым положениям в отношении нижепоименованных товаров должны применяться следующие Правила: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а) чехлы и футляры для фотоаппаратов, музыкальных инструментов, ружей, чертежных принадлежностей, ожерелий, а также аналогичная тара, имеющая специальную форму или приспособленная для размещения соответствующего изделия или набора изделий, пригодная для длительного использования и представленная вместе с изделиями, для которых она предназначена, должны классифицироваться совместно с упакованными в них изделиями, если такого вида тара обычно поступает в продажу вместе </w:t>
      </w:r>
      <w:r>
        <w:rPr>
          <w:sz w:val="28"/>
          <w:szCs w:val="28"/>
        </w:rPr>
        <w:br/>
        <w:t>с данными</w:t>
      </w:r>
      <w:proofErr w:type="gramEnd"/>
      <w:r>
        <w:rPr>
          <w:sz w:val="28"/>
          <w:szCs w:val="28"/>
        </w:rPr>
        <w:t xml:space="preserve"> изделиями. Однако данное Правило не применяется к таре, которая, образуя с упакованным изделием единое целое, придает последнему основное свойство;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согласно положениям вышеприведенного Правила 5а упаковочные материалы и тара, поставляемые вместе с находящимися в них товарами, должны классифицироваться совместно, если они такого вида, который обычно используется для упаковки данных товаров. Однако данное положение </w:t>
      </w:r>
      <w:r>
        <w:rPr>
          <w:sz w:val="28"/>
          <w:szCs w:val="28"/>
        </w:rPr>
        <w:br/>
        <w:t>не является обязательным, если такие упаковочные материалы или тара со всей очевидностью пригодны для повторного использования.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Для юридических целей классификация товаров в субпозициях товарной позиции должна осуществляться в соответствии с наименованиями субпозиций и примечаниями, имеющими отношение к субпозициям, а также </w:t>
      </w:r>
      <w:r>
        <w:rPr>
          <w:sz w:val="28"/>
          <w:szCs w:val="28"/>
          <w:lang w:val="en-US"/>
        </w:rPr>
        <w:t>mutatis</w:t>
      </w:r>
      <w:r w:rsidRPr="00575F1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mutandis</w:t>
      </w:r>
      <w:r>
        <w:rPr>
          <w:sz w:val="28"/>
          <w:szCs w:val="28"/>
        </w:rPr>
        <w:t xml:space="preserve">, положениями вышеупомянутых Правил при условии, что лишь субпозиции на одном уровне являются сравнимыми. Для целей настоящего Правила также могут применяться соответствующие примечания </w:t>
      </w:r>
      <w:r>
        <w:rPr>
          <w:sz w:val="28"/>
          <w:szCs w:val="28"/>
        </w:rPr>
        <w:br/>
        <w:t xml:space="preserve">к разделам и </w:t>
      </w:r>
      <w:proofErr w:type="gramStart"/>
      <w:r>
        <w:rPr>
          <w:sz w:val="28"/>
          <w:szCs w:val="28"/>
        </w:rPr>
        <w:t>группам</w:t>
      </w:r>
      <w:proofErr w:type="gramEnd"/>
      <w:r>
        <w:rPr>
          <w:sz w:val="28"/>
          <w:szCs w:val="28"/>
        </w:rPr>
        <w:t xml:space="preserve"> если в контексте не оговорено иное.</w:t>
      </w:r>
    </w:p>
    <w:p w:rsidR="00575F14" w:rsidRDefault="00575F14" w:rsidP="00575F14"/>
    <w:p w:rsidR="00575F14" w:rsidRDefault="00575F14" w:rsidP="00575F14">
      <w:pPr>
        <w:keepLines/>
        <w:jc w:val="center"/>
      </w:pPr>
      <w:r>
        <w:br w:type="page"/>
      </w:r>
      <w:r>
        <w:lastRenderedPageBreak/>
        <w:t>ЕДИНИЦЫ ИЗМЕРЕНИЯ, ПРИМЕНЯЕМЫЕ В ТН ВЭД</w:t>
      </w:r>
    </w:p>
    <w:p w:rsidR="00575F14" w:rsidRDefault="00575F14" w:rsidP="00575F14">
      <w:pPr>
        <w:pStyle w:val="Noeeu1"/>
        <w:keepLines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4A0"/>
      </w:tblPr>
      <w:tblGrid>
        <w:gridCol w:w="4582"/>
        <w:gridCol w:w="2693"/>
        <w:gridCol w:w="1887"/>
      </w:tblGrid>
      <w:tr w:rsidR="00575F14" w:rsidTr="00575F14">
        <w:trPr>
          <w:cantSplit/>
          <w:jc w:val="center"/>
        </w:trPr>
        <w:tc>
          <w:tcPr>
            <w:tcW w:w="45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75F14" w:rsidRDefault="00575F14">
            <w:pPr>
              <w:pStyle w:val="Noeeu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5F14" w:rsidRDefault="00575F14">
            <w:pPr>
              <w:pStyle w:val="Noeeu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Условное обозначение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75F14" w:rsidRDefault="00575F14">
            <w:pPr>
              <w:keepLines/>
              <w:jc w:val="center"/>
            </w:pPr>
            <w:r>
              <w:t>Коды единиц измерения</w:t>
            </w:r>
          </w:p>
        </w:tc>
      </w:tr>
      <w:tr w:rsidR="00575F14" w:rsidTr="00575F14">
        <w:trPr>
          <w:cantSplit/>
          <w:jc w:val="center"/>
        </w:trPr>
        <w:tc>
          <w:tcPr>
            <w:tcW w:w="9162" w:type="dxa"/>
            <w:gridSpan w:val="3"/>
            <w:hideMark/>
          </w:tcPr>
          <w:p w:rsidR="00575F14" w:rsidRDefault="00575F14">
            <w:pPr>
              <w:pStyle w:val="a3"/>
              <w:keepLines/>
              <w:tabs>
                <w:tab w:val="left" w:pos="8647"/>
              </w:tabs>
              <w:spacing w:before="120" w:after="120"/>
              <w:jc w:val="center"/>
            </w:pPr>
            <w:r>
              <w:t>ОСНОВНАЯ ЕДИНИЦА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a3"/>
              <w:keepLines/>
              <w:tabs>
                <w:tab w:val="left" w:pos="8647"/>
              </w:tabs>
            </w:pPr>
            <w:r>
              <w:t>Килограмм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a3"/>
              <w:keepLines/>
              <w:tabs>
                <w:tab w:val="left" w:pos="8647"/>
              </w:tabs>
            </w:pPr>
            <w:r>
              <w:t>кг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166</w:t>
            </w:r>
          </w:p>
        </w:tc>
      </w:tr>
      <w:tr w:rsidR="00575F14" w:rsidTr="00575F14">
        <w:trPr>
          <w:cantSplit/>
          <w:jc w:val="center"/>
        </w:trPr>
        <w:tc>
          <w:tcPr>
            <w:tcW w:w="9162" w:type="dxa"/>
            <w:gridSpan w:val="3"/>
            <w:hideMark/>
          </w:tcPr>
          <w:p w:rsidR="00575F14" w:rsidRDefault="00575F14">
            <w:pPr>
              <w:pStyle w:val="caaieiaie1"/>
              <w:keepLines/>
              <w:widowControl/>
              <w:tabs>
                <w:tab w:val="left" w:pos="8647"/>
              </w:tabs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ДОПОЛНИТЕЛЬНЫЕ ЕДИНИЦЫ ИЗМЕРЕНИЯ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a3"/>
              <w:keepLines/>
              <w:tabs>
                <w:tab w:val="left" w:pos="8647"/>
              </w:tabs>
            </w:pPr>
            <w:r>
              <w:t>Грамм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a3"/>
              <w:keepLines/>
              <w:tabs>
                <w:tab w:val="left" w:pos="8647"/>
              </w:tabs>
            </w:pPr>
            <w:r>
              <w:t>г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163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a3"/>
              <w:keepLines/>
              <w:tabs>
                <w:tab w:val="left" w:pos="8647"/>
              </w:tabs>
            </w:pPr>
            <w:r>
              <w:t>Грамм делящихся изотопов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a3"/>
              <w:keepLines/>
              <w:tabs>
                <w:tab w:val="left" w:pos="8647"/>
              </w:tabs>
            </w:pPr>
            <w:r>
              <w:t>г</w:t>
            </w:r>
            <w:proofErr w:type="gramStart"/>
            <w:r>
              <w:t xml:space="preserve"> Д</w:t>
            </w:r>
            <w:proofErr w:type="gramEnd"/>
            <w:r>
              <w:t>/И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306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Грузоподъемность в тоннах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 </w:t>
            </w:r>
            <w:proofErr w:type="spellStart"/>
            <w:r>
              <w:rPr>
                <w:sz w:val="24"/>
                <w:szCs w:val="24"/>
              </w:rPr>
              <w:t>грп</w:t>
            </w:r>
            <w:proofErr w:type="spellEnd"/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185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Квадратный метр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position w:val="6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055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Килограмм азота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 xml:space="preserve"> N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861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Килограмм </w:t>
            </w:r>
            <w:proofErr w:type="spellStart"/>
            <w:r>
              <w:rPr>
                <w:sz w:val="24"/>
                <w:szCs w:val="24"/>
              </w:rPr>
              <w:t>гидроксида</w:t>
            </w:r>
            <w:proofErr w:type="spellEnd"/>
            <w:r>
              <w:rPr>
                <w:sz w:val="24"/>
                <w:szCs w:val="24"/>
              </w:rPr>
              <w:t xml:space="preserve"> калия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 xml:space="preserve"> KOH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859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Килограмм </w:t>
            </w:r>
            <w:proofErr w:type="spellStart"/>
            <w:r>
              <w:rPr>
                <w:sz w:val="24"/>
                <w:szCs w:val="24"/>
              </w:rPr>
              <w:t>гидроксида</w:t>
            </w:r>
            <w:proofErr w:type="spellEnd"/>
            <w:r>
              <w:rPr>
                <w:sz w:val="24"/>
                <w:szCs w:val="24"/>
              </w:rPr>
              <w:t xml:space="preserve"> натрия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NaOH</w:t>
            </w:r>
            <w:proofErr w:type="spellEnd"/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863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Килограмм оксида калия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 xml:space="preserve"> K</w:t>
            </w:r>
            <w:r>
              <w:rPr>
                <w:position w:val="-6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852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Килограмм </w:t>
            </w:r>
            <w:proofErr w:type="spellStart"/>
            <w:r>
              <w:rPr>
                <w:sz w:val="24"/>
                <w:szCs w:val="24"/>
              </w:rPr>
              <w:t>пероксида</w:t>
            </w:r>
            <w:proofErr w:type="spellEnd"/>
            <w:r>
              <w:rPr>
                <w:sz w:val="24"/>
                <w:szCs w:val="24"/>
              </w:rPr>
              <w:t xml:space="preserve"> водорода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 xml:space="preserve"> H</w:t>
            </w:r>
            <w:r>
              <w:rPr>
                <w:position w:val="-6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O</w:t>
            </w:r>
            <w:r>
              <w:rPr>
                <w:position w:val="-6"/>
                <w:sz w:val="24"/>
                <w:szCs w:val="24"/>
              </w:rPr>
              <w:t>2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841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Килограмм </w:t>
            </w:r>
            <w:proofErr w:type="spellStart"/>
            <w:r>
              <w:rPr>
                <w:sz w:val="24"/>
                <w:szCs w:val="24"/>
              </w:rPr>
              <w:t>пятиокиси</w:t>
            </w:r>
            <w:proofErr w:type="spellEnd"/>
            <w:r>
              <w:rPr>
                <w:sz w:val="24"/>
                <w:szCs w:val="24"/>
              </w:rPr>
              <w:t xml:space="preserve"> фосфора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 xml:space="preserve"> P</w:t>
            </w:r>
            <w:r>
              <w:rPr>
                <w:position w:val="-6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O</w:t>
            </w:r>
            <w:r>
              <w:rPr>
                <w:position w:val="-6"/>
                <w:sz w:val="24"/>
                <w:szCs w:val="24"/>
              </w:rPr>
              <w:t>5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865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Килограмм сухого на 90% вещества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кг 90%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/в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845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Килограмм урана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 xml:space="preserve"> U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867</w:t>
            </w:r>
          </w:p>
        </w:tc>
      </w:tr>
      <w:tr w:rsidR="00575F14" w:rsidTr="00575F14">
        <w:trPr>
          <w:cantSplit/>
          <w:trHeight w:val="82"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Кубический метр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position w:val="6"/>
                <w:sz w:val="24"/>
                <w:szCs w:val="24"/>
              </w:rPr>
              <w:t>3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113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Кюри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305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112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Литр чистого (100%) спирта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 100% спирта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831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Метр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006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Метрический карат (1 карат = 2·10</w:t>
            </w:r>
            <w:r>
              <w:rPr>
                <w:position w:val="6"/>
                <w:sz w:val="24"/>
                <w:szCs w:val="24"/>
              </w:rPr>
              <w:t>-4</w:t>
            </w:r>
            <w:r>
              <w:rPr>
                <w:sz w:val="24"/>
                <w:szCs w:val="24"/>
              </w:rPr>
              <w:t xml:space="preserve"> кг)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162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715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 штук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797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Тысяча штук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1000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798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796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киловатт-час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кВт·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246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1000 кубических </w:t>
            </w:r>
            <w:proofErr w:type="spellStart"/>
            <w:r>
              <w:rPr>
                <w:sz w:val="24"/>
                <w:szCs w:val="24"/>
              </w:rPr>
              <w:t>мет</w:t>
            </w:r>
            <w:proofErr w:type="gramStart"/>
            <w:r>
              <w:rPr>
                <w:sz w:val="24"/>
                <w:szCs w:val="24"/>
              </w:rPr>
              <w:t>p</w:t>
            </w:r>
            <w:proofErr w:type="gramEnd"/>
            <w:r>
              <w:rPr>
                <w:sz w:val="24"/>
                <w:szCs w:val="24"/>
              </w:rPr>
              <w:t>ов</w:t>
            </w:r>
            <w:proofErr w:type="spellEnd"/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r>
              <w:rPr>
                <w:position w:val="6"/>
                <w:sz w:val="24"/>
                <w:szCs w:val="24"/>
              </w:rPr>
              <w:t>3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114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1000 </w:t>
            </w:r>
            <w:proofErr w:type="spellStart"/>
            <w:r>
              <w:rPr>
                <w:sz w:val="24"/>
                <w:szCs w:val="24"/>
              </w:rPr>
              <w:t>лит</w:t>
            </w:r>
            <w:proofErr w:type="gramStart"/>
            <w:r>
              <w:rPr>
                <w:sz w:val="24"/>
                <w:szCs w:val="24"/>
              </w:rPr>
              <w:t>p</w:t>
            </w:r>
            <w:proofErr w:type="gramEnd"/>
            <w:r>
              <w:rPr>
                <w:sz w:val="24"/>
                <w:szCs w:val="24"/>
              </w:rPr>
              <w:t>ов</w:t>
            </w:r>
            <w:proofErr w:type="spellEnd"/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л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130</w:t>
            </w:r>
          </w:p>
        </w:tc>
      </w:tr>
    </w:tbl>
    <w:p w:rsidR="00575F14" w:rsidRDefault="00575F14" w:rsidP="00575F14">
      <w:pPr>
        <w:keepLines/>
      </w:pPr>
    </w:p>
    <w:p w:rsidR="00575F14" w:rsidRDefault="00575F14" w:rsidP="00575F14">
      <w:pPr>
        <w:rPr>
          <w:sz w:val="28"/>
          <w:szCs w:val="28"/>
        </w:rPr>
      </w:pPr>
    </w:p>
    <w:p w:rsidR="00DE3850" w:rsidRDefault="00DE3850"/>
    <w:sectPr w:rsidR="00DE3850" w:rsidSect="004000D3">
      <w:headerReference w:type="default" r:id="rId7"/>
      <w:headerReference w:type="first" r:id="rId8"/>
      <w:pgSz w:w="11906" w:h="16838"/>
      <w:pgMar w:top="1134" w:right="850" w:bottom="1134" w:left="1701" w:header="708" w:footer="708" w:gutter="0"/>
      <w:pgNumType w:fmt="numberInDash" w:start="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825" w:rsidRDefault="00673825" w:rsidP="00CE1347">
      <w:r>
        <w:separator/>
      </w:r>
    </w:p>
  </w:endnote>
  <w:endnote w:type="continuationSeparator" w:id="0">
    <w:p w:rsidR="00673825" w:rsidRDefault="00673825" w:rsidP="00CE13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825" w:rsidRDefault="00673825" w:rsidP="00CE1347">
      <w:r>
        <w:separator/>
      </w:r>
    </w:p>
  </w:footnote>
  <w:footnote w:type="continuationSeparator" w:id="0">
    <w:p w:rsidR="00673825" w:rsidRDefault="00673825" w:rsidP="00CE13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925220"/>
      <w:docPartObj>
        <w:docPartGallery w:val="Page Numbers (Top of Page)"/>
        <w:docPartUnique/>
      </w:docPartObj>
    </w:sdtPr>
    <w:sdtContent>
      <w:p w:rsidR="00CE1347" w:rsidRDefault="00F764FE">
        <w:pPr>
          <w:pStyle w:val="a3"/>
          <w:jc w:val="center"/>
        </w:pPr>
        <w:r>
          <w:fldChar w:fldCharType="begin"/>
        </w:r>
        <w:r w:rsidR="00CE1347">
          <w:instrText>PAGE   \* MERGEFORMAT</w:instrText>
        </w:r>
        <w:r>
          <w:fldChar w:fldCharType="separate"/>
        </w:r>
        <w:r w:rsidR="004000D3">
          <w:rPr>
            <w:noProof/>
          </w:rPr>
          <w:t>- 8 -</w:t>
        </w:r>
        <w:r>
          <w:fldChar w:fldCharType="end"/>
        </w:r>
      </w:p>
    </w:sdtContent>
  </w:sdt>
  <w:p w:rsidR="00CE1347" w:rsidRDefault="00CE134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2860"/>
      <w:docPartObj>
        <w:docPartGallery w:val="Page Numbers (Top of Page)"/>
        <w:docPartUnique/>
      </w:docPartObj>
    </w:sdtPr>
    <w:sdtContent>
      <w:p w:rsidR="004000D3" w:rsidRDefault="004000D3">
        <w:pPr>
          <w:pStyle w:val="a3"/>
          <w:jc w:val="center"/>
        </w:pPr>
        <w:fldSimple w:instr=" PAGE   \* MERGEFORMAT ">
          <w:r>
            <w:rPr>
              <w:noProof/>
            </w:rPr>
            <w:t>- 7 -</w:t>
          </w:r>
        </w:fldSimple>
      </w:p>
    </w:sdtContent>
  </w:sdt>
  <w:p w:rsidR="004000D3" w:rsidRDefault="004000D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94651A"/>
    <w:multiLevelType w:val="hybridMultilevel"/>
    <w:tmpl w:val="6EFC3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3DF3"/>
    <w:rsid w:val="004000D3"/>
    <w:rsid w:val="00575F14"/>
    <w:rsid w:val="00673825"/>
    <w:rsid w:val="00703DF3"/>
    <w:rsid w:val="00A91A2F"/>
    <w:rsid w:val="00B500F4"/>
    <w:rsid w:val="00BB2B2B"/>
    <w:rsid w:val="00CA0297"/>
    <w:rsid w:val="00CE1347"/>
    <w:rsid w:val="00DE3850"/>
    <w:rsid w:val="00DF7881"/>
    <w:rsid w:val="00F76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5F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5F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eeu1">
    <w:name w:val="Noeeu1"/>
    <w:rsid w:val="00575F14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rsid w:val="00575F14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1">
    <w:name w:val="caaieiaie 1"/>
    <w:basedOn w:val="a"/>
    <w:next w:val="a"/>
    <w:rsid w:val="00575F14"/>
    <w:pPr>
      <w:keepNext/>
      <w:widowControl w:val="0"/>
      <w:overflowPunct w:val="0"/>
      <w:autoSpaceDE w:val="0"/>
      <w:autoSpaceDN w:val="0"/>
      <w:adjustRightInd w:val="0"/>
      <w:spacing w:before="120" w:line="240" w:lineRule="atLeast"/>
      <w:jc w:val="center"/>
    </w:pPr>
    <w:rPr>
      <w:rFonts w:ascii="Times New Roman CYR" w:hAnsi="Times New Roman CYR"/>
      <w:sz w:val="26"/>
      <w:szCs w:val="20"/>
    </w:rPr>
  </w:style>
  <w:style w:type="paragraph" w:styleId="a5">
    <w:name w:val="footer"/>
    <w:basedOn w:val="a"/>
    <w:link w:val="a6"/>
    <w:uiPriority w:val="99"/>
    <w:unhideWhenUsed/>
    <w:rsid w:val="00CE13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E13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000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00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1113</Words>
  <Characters>6346</Characters>
  <Application>Microsoft Office Word</Application>
  <DocSecurity>0</DocSecurity>
  <Lines>52</Lines>
  <Paragraphs>14</Paragraphs>
  <ScaleCrop>false</ScaleCrop>
  <Company/>
  <LinksUpToDate>false</LinksUpToDate>
  <CharactersWithSpaces>7445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Крупоченко Е.</dc:creator>
  <cp:keywords/>
  <dc:description/>
  <cp:lastModifiedBy>kolesnik_av</cp:lastModifiedBy>
  <cp:revision>4</cp:revision>
  <cp:lastPrinted>2016-09-26T06:55:00Z</cp:lastPrinted>
  <dcterms:created xsi:type="dcterms:W3CDTF">2016-09-26T06:51:00Z</dcterms:created>
  <dcterms:modified xsi:type="dcterms:W3CDTF">2016-09-26T06:55:00Z</dcterms:modified>
</cp:coreProperties>
</file>